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33" w:rsidRDefault="00282833" w:rsidP="00F51B38">
      <w:pPr>
        <w:pStyle w:val="20"/>
        <w:shd w:val="clear" w:color="auto" w:fill="auto"/>
      </w:pPr>
      <w:r>
        <w:t xml:space="preserve">Информация о реализации </w:t>
      </w:r>
      <w:r w:rsidR="00C340CB">
        <w:t xml:space="preserve">в 2018 году </w:t>
      </w:r>
      <w:bookmarkStart w:id="0" w:name="_GoBack"/>
      <w:bookmarkEnd w:id="0"/>
      <w:r>
        <w:t>составляющих ста</w:t>
      </w:r>
      <w:r w:rsidR="00D4646C">
        <w:t>ндарта развития конкуренции в  Артинском городском округе</w:t>
      </w:r>
    </w:p>
    <w:p w:rsidR="00282833" w:rsidRDefault="00282833"/>
    <w:tbl>
      <w:tblPr>
        <w:tblW w:w="97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634"/>
        <w:gridCol w:w="3191"/>
      </w:tblGrid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t>1.</w:t>
            </w:r>
          </w:p>
        </w:tc>
        <w:tc>
          <w:tcPr>
            <w:tcW w:w="8825" w:type="dxa"/>
            <w:gridSpan w:val="2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1"/>
              </w:rPr>
              <w:t>Заключение соглашений (меморандумов) по внедрению стандарта развития конкуренции между органами исполнительной власти субъекта Российской Федерации и органами местного самоуправления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1.1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302" w:lineRule="exact"/>
              <w:jc w:val="left"/>
            </w:pPr>
            <w:r>
              <w:rPr>
                <w:rStyle w:val="212pt"/>
              </w:rPr>
              <w:t>Информация о заключении соглашения (меморандумы) о внедрении Стандарта (далее - соглашения)</w:t>
            </w:r>
          </w:p>
        </w:tc>
        <w:tc>
          <w:tcPr>
            <w:tcW w:w="3191" w:type="dxa"/>
          </w:tcPr>
          <w:p w:rsidR="00282833" w:rsidRPr="00C74FD4" w:rsidRDefault="00C74FD4" w:rsidP="00C340CB">
            <w:pPr>
              <w:pStyle w:val="22"/>
              <w:shd w:val="clear" w:color="auto" w:fill="auto"/>
              <w:spacing w:after="0" w:line="240" w:lineRule="exact"/>
              <w:jc w:val="left"/>
              <w:rPr>
                <w:sz w:val="24"/>
                <w:szCs w:val="24"/>
              </w:rPr>
            </w:pPr>
            <w:r w:rsidRPr="00C74FD4">
              <w:rPr>
                <w:sz w:val="24"/>
                <w:szCs w:val="24"/>
              </w:rPr>
              <w:t xml:space="preserve">Меморандум №38 от 14 </w:t>
            </w:r>
            <w:r w:rsidRPr="00DC50BE">
              <w:rPr>
                <w:sz w:val="24"/>
                <w:szCs w:val="24"/>
              </w:rPr>
              <w:t>декабря 201</w:t>
            </w:r>
            <w:r w:rsidR="00DC50BE" w:rsidRPr="00DC50BE">
              <w:rPr>
                <w:sz w:val="24"/>
                <w:szCs w:val="24"/>
              </w:rPr>
              <w:t>5</w:t>
            </w:r>
            <w:r w:rsidRPr="00DC50BE">
              <w:rPr>
                <w:sz w:val="24"/>
                <w:szCs w:val="24"/>
              </w:rPr>
              <w:t>г. между</w:t>
            </w:r>
            <w:r w:rsidRPr="00C74FD4">
              <w:rPr>
                <w:sz w:val="24"/>
                <w:szCs w:val="24"/>
              </w:rPr>
              <w:t xml:space="preserve"> Министерством инвестиций и развития Свердловской области и Администрацией муниципального образования Артинского городского округа о внедрении Стандарта развития конкуренции на территории Свердловской области. 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1.2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Органы власти, заключавшие соглашения (являлись подписантами) со стороны субъекта РФ</w:t>
            </w:r>
          </w:p>
        </w:tc>
        <w:tc>
          <w:tcPr>
            <w:tcW w:w="3191" w:type="dxa"/>
          </w:tcPr>
          <w:p w:rsidR="00282833" w:rsidRPr="00C74FD4" w:rsidRDefault="00C74FD4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i/>
              </w:rPr>
            </w:pPr>
            <w:r w:rsidRPr="00C74FD4">
              <w:rPr>
                <w:rStyle w:val="212pt2"/>
                <w:i w:val="0"/>
              </w:rPr>
              <w:t xml:space="preserve">Министерство инвестиций и развития Свердловской области 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1.3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Органы, заключавшие соглашения (являлись подписантами) со стороны муниципальных образований</w:t>
            </w:r>
          </w:p>
        </w:tc>
        <w:tc>
          <w:tcPr>
            <w:tcW w:w="3191" w:type="dxa"/>
          </w:tcPr>
          <w:p w:rsidR="00282833" w:rsidRPr="00C74FD4" w:rsidRDefault="00C74FD4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sz w:val="24"/>
                <w:szCs w:val="24"/>
              </w:rPr>
            </w:pPr>
            <w:r w:rsidRPr="00C74FD4">
              <w:t xml:space="preserve"> </w:t>
            </w:r>
            <w:r w:rsidRPr="00C74FD4">
              <w:rPr>
                <w:sz w:val="24"/>
                <w:szCs w:val="24"/>
              </w:rPr>
              <w:t>Администрация Артинского городского округа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t>2</w:t>
            </w:r>
          </w:p>
        </w:tc>
        <w:tc>
          <w:tcPr>
            <w:tcW w:w="8825" w:type="dxa"/>
            <w:gridSpan w:val="2"/>
          </w:tcPr>
          <w:p w:rsidR="00282833" w:rsidRDefault="00282833" w:rsidP="00C340CB">
            <w:pPr>
              <w:pStyle w:val="22"/>
              <w:shd w:val="clear" w:color="auto" w:fill="auto"/>
              <w:spacing w:after="0" w:line="302" w:lineRule="exact"/>
              <w:jc w:val="left"/>
            </w:pPr>
            <w:r>
              <w:rPr>
                <w:rStyle w:val="212pt1"/>
              </w:rPr>
              <w:t>Проведение обучающих мероприятий (тренингов) для органов местного самоуправления по вопросам содействия развитию конкуренции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2. 1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Даты и наименования проведенных обучающих мероприятий, а также число муниципальных образований, представители которых приняли участие в каждом мероприятии</w:t>
            </w:r>
          </w:p>
        </w:tc>
        <w:tc>
          <w:tcPr>
            <w:tcW w:w="3191" w:type="dxa"/>
          </w:tcPr>
          <w:p w:rsidR="00DA50C8" w:rsidRPr="00C54AC4" w:rsidRDefault="00DA50C8" w:rsidP="00C340CB">
            <w:pPr>
              <w:pStyle w:val="22"/>
              <w:spacing w:after="0"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12.09.2018г.-</w:t>
            </w:r>
            <w:r w:rsidRPr="00DA50C8">
              <w:rPr>
                <w:lang w:eastAsia="ru-RU"/>
              </w:rPr>
              <w:t xml:space="preserve"> </w:t>
            </w:r>
            <w:r w:rsidR="00214CAA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>-совещание</w:t>
            </w:r>
            <w:r w:rsidRPr="00DA5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вопросам улучшения </w:t>
            </w:r>
            <w:r w:rsidRPr="00DA50C8">
              <w:rPr>
                <w:sz w:val="24"/>
                <w:szCs w:val="24"/>
              </w:rPr>
              <w:t>инвестиционного климата и развития конкуренции в муниципальных образовани</w:t>
            </w:r>
            <w:r>
              <w:rPr>
                <w:sz w:val="24"/>
                <w:szCs w:val="24"/>
              </w:rPr>
              <w:t>ях, расположенных на территории</w:t>
            </w:r>
            <w:r w:rsidR="00214CAA">
              <w:rPr>
                <w:sz w:val="24"/>
                <w:szCs w:val="24"/>
              </w:rPr>
              <w:t xml:space="preserve"> </w:t>
            </w:r>
            <w:proofErr w:type="gramStart"/>
            <w:r w:rsidR="00214CAA"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>,</w:t>
            </w:r>
            <w:r w:rsidR="00C340CB">
              <w:rPr>
                <w:sz w:val="24"/>
                <w:szCs w:val="24"/>
              </w:rPr>
              <w:t xml:space="preserve"> </w:t>
            </w:r>
            <w:r w:rsidRPr="00DA50C8">
              <w:rPr>
                <w:sz w:val="24"/>
                <w:szCs w:val="24"/>
              </w:rPr>
              <w:t>в Западном управленческом округе</w:t>
            </w:r>
            <w:r w:rsidRPr="00DA50C8">
              <w:rPr>
                <w:bCs/>
                <w:sz w:val="24"/>
                <w:szCs w:val="24"/>
              </w:rPr>
              <w:t xml:space="preserve"> </w:t>
            </w:r>
          </w:p>
          <w:p w:rsidR="00E90387" w:rsidRPr="00E90387" w:rsidRDefault="00E90387" w:rsidP="00C340CB">
            <w:pPr>
              <w:pStyle w:val="22"/>
              <w:spacing w:after="0" w:line="240" w:lineRule="exact"/>
              <w:jc w:val="left"/>
              <w:rPr>
                <w:sz w:val="24"/>
                <w:szCs w:val="24"/>
              </w:rPr>
            </w:pPr>
            <w:r w:rsidRPr="00E90387">
              <w:rPr>
                <w:sz w:val="24"/>
                <w:szCs w:val="24"/>
              </w:rPr>
              <w:t>02.11.2018г. состоялся День проектного управления в Администрации АГО.</w:t>
            </w:r>
          </w:p>
          <w:p w:rsidR="00E90387" w:rsidRDefault="00E90387" w:rsidP="00C340CB">
            <w:pPr>
              <w:pStyle w:val="22"/>
              <w:shd w:val="clear" w:color="auto" w:fill="auto"/>
              <w:spacing w:after="0" w:line="240" w:lineRule="exact"/>
              <w:jc w:val="left"/>
              <w:rPr>
                <w:sz w:val="24"/>
                <w:szCs w:val="24"/>
              </w:rPr>
            </w:pPr>
            <w:r w:rsidRPr="00E90387">
              <w:rPr>
                <w:sz w:val="24"/>
                <w:szCs w:val="24"/>
              </w:rPr>
              <w:t>Участие в мероприятии приняли 23 человека</w:t>
            </w:r>
            <w:r>
              <w:rPr>
                <w:sz w:val="24"/>
                <w:szCs w:val="24"/>
              </w:rPr>
              <w:t>.</w:t>
            </w:r>
          </w:p>
          <w:p w:rsidR="00E90387" w:rsidRDefault="00E90387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t>3.</w:t>
            </w:r>
          </w:p>
        </w:tc>
        <w:tc>
          <w:tcPr>
            <w:tcW w:w="8825" w:type="dxa"/>
            <w:gridSpan w:val="2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1"/>
              </w:rPr>
              <w:t xml:space="preserve">Формирование коллегиального координационного или совещательного органа по вопросам содействия развитию конкуренции 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3.1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Наименование Коллегиального органа</w:t>
            </w:r>
          </w:p>
        </w:tc>
        <w:tc>
          <w:tcPr>
            <w:tcW w:w="3191" w:type="dxa"/>
          </w:tcPr>
          <w:p w:rsidR="00282833" w:rsidRPr="00220F4F" w:rsidRDefault="00220F4F" w:rsidP="00C340CB">
            <w:pPr>
              <w:pStyle w:val="22"/>
              <w:shd w:val="clear" w:color="auto" w:fill="auto"/>
              <w:spacing w:after="0" w:line="240" w:lineRule="exact"/>
              <w:jc w:val="left"/>
              <w:rPr>
                <w:i/>
              </w:rPr>
            </w:pPr>
            <w:r w:rsidRPr="00220F4F">
              <w:rPr>
                <w:rStyle w:val="212pt2"/>
                <w:i w:val="0"/>
              </w:rPr>
              <w:t>Совет по инвестициям и развитию Артинского городского округа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3.2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Реквизиты документа, в соответствии с которым назначен Коллегиальный орган и утверждено положение о нем</w:t>
            </w:r>
          </w:p>
        </w:tc>
        <w:tc>
          <w:tcPr>
            <w:tcW w:w="3191" w:type="dxa"/>
          </w:tcPr>
          <w:p w:rsidR="00282833" w:rsidRPr="00220F4F" w:rsidRDefault="00220F4F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i/>
              </w:rPr>
            </w:pPr>
            <w:r w:rsidRPr="00220F4F">
              <w:rPr>
                <w:rStyle w:val="212pt2"/>
                <w:i w:val="0"/>
              </w:rPr>
              <w:t xml:space="preserve">постановление Администрации Артинского городского округа от 23.11.2015г. № 1309 «О создании координационного Совета по инвестициям и </w:t>
            </w:r>
            <w:r w:rsidRPr="00220F4F">
              <w:rPr>
                <w:rStyle w:val="212pt2"/>
                <w:i w:val="0"/>
              </w:rPr>
              <w:lastRenderedPageBreak/>
              <w:t>развитию Артинского городского округа»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  <w:r w:rsidRPr="00B90820">
              <w:lastRenderedPageBreak/>
              <w:t>3.3</w:t>
            </w: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>Представители совета муниципальных образований, и/или иных объединений муниципальных образований, и/или органов местного самоуправления</w:t>
            </w:r>
          </w:p>
        </w:tc>
        <w:tc>
          <w:tcPr>
            <w:tcW w:w="3191" w:type="dxa"/>
          </w:tcPr>
          <w:p w:rsidR="00282833" w:rsidRPr="00220F4F" w:rsidRDefault="00220F4F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  <w:i w:val="0"/>
              </w:rPr>
            </w:pPr>
            <w:r w:rsidRPr="00220F4F">
              <w:rPr>
                <w:rStyle w:val="212pt2"/>
                <w:i w:val="0"/>
              </w:rPr>
              <w:t>Участвуют формы собственности: ООО и ИП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>Представители общественных организаций, действующих в интересах предпринимателей и потребителей товаров, работ и услуг</w:t>
            </w:r>
          </w:p>
        </w:tc>
        <w:tc>
          <w:tcPr>
            <w:tcW w:w="3191" w:type="dxa"/>
          </w:tcPr>
          <w:p w:rsidR="00282833" w:rsidRPr="00220F4F" w:rsidRDefault="00220F4F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  <w:i w:val="0"/>
              </w:rPr>
            </w:pPr>
            <w:r w:rsidRPr="00220F4F">
              <w:rPr>
                <w:rStyle w:val="212pt2"/>
                <w:i w:val="0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>Представители региональной комиссии по проведению административной реформы</w:t>
            </w:r>
          </w:p>
        </w:tc>
        <w:tc>
          <w:tcPr>
            <w:tcW w:w="3191" w:type="dxa"/>
          </w:tcPr>
          <w:p w:rsidR="00282833" w:rsidRPr="00220F4F" w:rsidRDefault="00220F4F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  <w:i w:val="0"/>
              </w:rPr>
            </w:pPr>
            <w:r w:rsidRPr="00220F4F">
              <w:rPr>
                <w:rStyle w:val="212pt2"/>
                <w:i w:val="0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>Представители научных, исследовательских, проектных, аналитических организаций и технологических платформ</w:t>
            </w:r>
          </w:p>
        </w:tc>
        <w:tc>
          <w:tcPr>
            <w:tcW w:w="3191" w:type="dxa"/>
          </w:tcPr>
          <w:p w:rsidR="00282833" w:rsidRPr="00220F4F" w:rsidRDefault="00220F4F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  <w:i w:val="0"/>
              </w:rPr>
            </w:pPr>
            <w:r w:rsidRPr="00220F4F">
              <w:rPr>
                <w:rStyle w:val="212pt2"/>
                <w:i w:val="0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 xml:space="preserve">Представители потребителей товаров, работ и услуг, задействованные в механизмах общественного </w:t>
            </w:r>
            <w:proofErr w:type="gramStart"/>
            <w:r w:rsidRPr="00F51B38">
              <w:rPr>
                <w:rStyle w:val="212pt"/>
              </w:rPr>
              <w:t>контроля за</w:t>
            </w:r>
            <w:proofErr w:type="gramEnd"/>
            <w:r w:rsidRPr="00F51B38">
              <w:rPr>
                <w:rStyle w:val="212pt"/>
              </w:rPr>
              <w:t xml:space="preserve">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</w:t>
            </w:r>
          </w:p>
        </w:tc>
        <w:tc>
          <w:tcPr>
            <w:tcW w:w="3191" w:type="dxa"/>
          </w:tcPr>
          <w:p w:rsidR="00282833" w:rsidRPr="00220F4F" w:rsidRDefault="00220F4F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  <w:i w:val="0"/>
              </w:rPr>
            </w:pPr>
            <w:r w:rsidRPr="00220F4F">
              <w:rPr>
                <w:rStyle w:val="212pt2"/>
                <w:i w:val="0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 xml:space="preserve">Представители объединений сельскохозяйственных товаропроизводителей, переработчиков сельскохозяйственных продукции, крестьянских (фермерских) хозяйств и </w:t>
            </w:r>
            <w:proofErr w:type="gramStart"/>
            <w:r w:rsidRPr="00F51B38">
              <w:rPr>
                <w:rStyle w:val="212pt"/>
              </w:rPr>
              <w:t>сельскохозяйственный</w:t>
            </w:r>
            <w:proofErr w:type="gramEnd"/>
            <w:r w:rsidRPr="00F51B38">
              <w:rPr>
                <w:rStyle w:val="212pt"/>
              </w:rPr>
              <w:t xml:space="preserve"> кооперативов</w:t>
            </w:r>
          </w:p>
        </w:tc>
        <w:tc>
          <w:tcPr>
            <w:tcW w:w="3191" w:type="dxa"/>
          </w:tcPr>
          <w:p w:rsidR="00282833" w:rsidRPr="00F51B38" w:rsidRDefault="000365DD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</w:rPr>
            </w:pPr>
            <w:r>
              <w:rPr>
                <w:rStyle w:val="212pt2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 xml:space="preserve">Представители объединений, действующих в интересах сферы рыбного хозяйства (хозяйства водных биологических ресурсов, </w:t>
            </w:r>
            <w:proofErr w:type="spellStart"/>
            <w:r w:rsidRPr="00F51B38">
              <w:rPr>
                <w:rStyle w:val="212pt"/>
              </w:rPr>
              <w:t>аквакультура</w:t>
            </w:r>
            <w:proofErr w:type="spellEnd"/>
            <w:r w:rsidRPr="00F51B38">
              <w:rPr>
                <w:rStyle w:val="212pt"/>
              </w:rPr>
              <w:t xml:space="preserve">, </w:t>
            </w:r>
            <w:proofErr w:type="spellStart"/>
            <w:r w:rsidRPr="00F51B38">
              <w:rPr>
                <w:rStyle w:val="212pt"/>
              </w:rPr>
              <w:t>марикультура</w:t>
            </w:r>
            <w:proofErr w:type="spellEnd"/>
            <w:r w:rsidRPr="00F51B38">
              <w:rPr>
                <w:rStyle w:val="212pt"/>
              </w:rPr>
              <w:t xml:space="preserve">, товарное рыбоводство, промышленное рыболовство, </w:t>
            </w:r>
            <w:proofErr w:type="spellStart"/>
            <w:r w:rsidRPr="00F51B38">
              <w:rPr>
                <w:rStyle w:val="212pt"/>
              </w:rPr>
              <w:t>рыбопереработки</w:t>
            </w:r>
            <w:proofErr w:type="spellEnd"/>
            <w:r w:rsidRPr="00F51B38">
              <w:rPr>
                <w:rStyle w:val="212pt"/>
              </w:rPr>
              <w:t xml:space="preserve"> и др.)</w:t>
            </w:r>
          </w:p>
        </w:tc>
        <w:tc>
          <w:tcPr>
            <w:tcW w:w="3191" w:type="dxa"/>
          </w:tcPr>
          <w:p w:rsidR="00282833" w:rsidRPr="00F51B38" w:rsidRDefault="000365DD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</w:rPr>
            </w:pPr>
            <w:r>
              <w:rPr>
                <w:rStyle w:val="212pt2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>Представители профессиональных союзов и обществ, в том числе представители организаций, действующих в интересах кадрового обеспечения высокотехнологичных отраслей промышленности</w:t>
            </w:r>
          </w:p>
        </w:tc>
        <w:tc>
          <w:tcPr>
            <w:tcW w:w="3191" w:type="dxa"/>
          </w:tcPr>
          <w:p w:rsidR="00282833" w:rsidRPr="00F51B38" w:rsidRDefault="000365DD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</w:rPr>
            </w:pPr>
            <w:r>
              <w:rPr>
                <w:rStyle w:val="212pt2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>Представители организаций, действующих в интересах независимых директоров</w:t>
            </w:r>
          </w:p>
        </w:tc>
        <w:tc>
          <w:tcPr>
            <w:tcW w:w="3191" w:type="dxa"/>
          </w:tcPr>
          <w:p w:rsidR="00282833" w:rsidRPr="00F51B38" w:rsidRDefault="00D4646C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</w:rPr>
            </w:pPr>
            <w:r>
              <w:rPr>
                <w:rStyle w:val="212pt2"/>
              </w:rPr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B90820" w:rsidRDefault="00282833" w:rsidP="00C340CB">
            <w:pPr>
              <w:spacing w:after="0" w:line="240" w:lineRule="auto"/>
            </w:pPr>
          </w:p>
        </w:tc>
        <w:tc>
          <w:tcPr>
            <w:tcW w:w="5634" w:type="dxa"/>
          </w:tcPr>
          <w:p w:rsidR="00282833" w:rsidRPr="00F51B38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 w:rsidRPr="00F51B38">
              <w:rPr>
                <w:rStyle w:val="212pt"/>
              </w:rPr>
              <w:t xml:space="preserve">Эксперты и специалисты иных направлений (конструкторы, инженеры, изобретатели, </w:t>
            </w:r>
            <w:proofErr w:type="spellStart"/>
            <w:r w:rsidRPr="00F51B38">
              <w:rPr>
                <w:rStyle w:val="212pt"/>
              </w:rPr>
              <w:t>инноваторы</w:t>
            </w:r>
            <w:proofErr w:type="spellEnd"/>
            <w:r w:rsidRPr="00F51B38">
              <w:rPr>
                <w:rStyle w:val="212pt"/>
              </w:rPr>
              <w:t xml:space="preserve">, специалисты в области программного обеспечения, информационно-коммуникационных технологий, медицинских и биотехнологий, </w:t>
            </w:r>
            <w:proofErr w:type="spellStart"/>
            <w:r w:rsidRPr="00F51B38">
              <w:rPr>
                <w:rStyle w:val="212pt"/>
              </w:rPr>
              <w:t>нанотехнологий</w:t>
            </w:r>
            <w:proofErr w:type="spellEnd"/>
            <w:r w:rsidRPr="00F51B38">
              <w:rPr>
                <w:rStyle w:val="212pt"/>
              </w:rPr>
              <w:t xml:space="preserve">, альтернативной энергетики и </w:t>
            </w:r>
            <w:proofErr w:type="spellStart"/>
            <w:r w:rsidRPr="00F51B38">
              <w:rPr>
                <w:rStyle w:val="212pt"/>
              </w:rPr>
              <w:t>энергоэффективности</w:t>
            </w:r>
            <w:proofErr w:type="spellEnd"/>
            <w:r w:rsidRPr="00F51B38">
              <w:rPr>
                <w:rStyle w:val="212pt"/>
              </w:rPr>
              <w:t xml:space="preserve">, нового материаловедения, представители научно - технического и промышленно-делового сообщества, участники процесса, задействованные в рамках развития </w:t>
            </w:r>
            <w:r w:rsidRPr="00F51B38">
              <w:rPr>
                <w:rStyle w:val="212pt"/>
              </w:rPr>
              <w:lastRenderedPageBreak/>
              <w:t>междисциплинарных исследований, направленных на прорывные разработки и открытия, и др.)</w:t>
            </w:r>
          </w:p>
        </w:tc>
        <w:tc>
          <w:tcPr>
            <w:tcW w:w="3191" w:type="dxa"/>
          </w:tcPr>
          <w:p w:rsidR="00282833" w:rsidRPr="00F51B38" w:rsidRDefault="00D4646C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rStyle w:val="212pt2"/>
              </w:rPr>
            </w:pPr>
            <w:r>
              <w:rPr>
                <w:rStyle w:val="212pt2"/>
              </w:rPr>
              <w:lastRenderedPageBreak/>
              <w:t>нет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lastRenderedPageBreak/>
              <w:t>4</w:t>
            </w:r>
          </w:p>
        </w:tc>
        <w:tc>
          <w:tcPr>
            <w:tcW w:w="8825" w:type="dxa"/>
            <w:gridSpan w:val="2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1"/>
              </w:rPr>
              <w:t>Проведение ежегодного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4.1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Информация о данных мониторинга</w:t>
            </w:r>
          </w:p>
        </w:tc>
        <w:tc>
          <w:tcPr>
            <w:tcW w:w="3191" w:type="dxa"/>
          </w:tcPr>
          <w:p w:rsidR="00282833" w:rsidRDefault="0050643A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2"/>
              </w:rPr>
              <w:t>1,1</w:t>
            </w:r>
          </w:p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4.2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Описание полученных результатов</w:t>
            </w:r>
          </w:p>
        </w:tc>
        <w:tc>
          <w:tcPr>
            <w:tcW w:w="3191" w:type="dxa"/>
          </w:tcPr>
          <w:p w:rsidR="00282833" w:rsidRPr="00943A70" w:rsidRDefault="00943A70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 w:rsidRPr="00943A70">
              <w:rPr>
                <w:sz w:val="24"/>
                <w:szCs w:val="24"/>
              </w:rPr>
              <w:t>По опрос</w:t>
            </w:r>
            <w:r>
              <w:rPr>
                <w:sz w:val="24"/>
                <w:szCs w:val="24"/>
              </w:rPr>
              <w:t>ам, проведенным с</w:t>
            </w:r>
            <w:r w:rsidRPr="00943A70">
              <w:rPr>
                <w:sz w:val="24"/>
                <w:szCs w:val="24"/>
              </w:rPr>
              <w:t xml:space="preserve"> субъект</w:t>
            </w:r>
            <w:r>
              <w:rPr>
                <w:sz w:val="24"/>
                <w:szCs w:val="24"/>
              </w:rPr>
              <w:t>ами</w:t>
            </w:r>
            <w:r w:rsidRPr="00943A70">
              <w:rPr>
                <w:sz w:val="24"/>
                <w:szCs w:val="24"/>
              </w:rPr>
              <w:t xml:space="preserve"> предпринимательской деятельности о наличии (отсутствии) административных барьеров, об оценке состояния и развития конкурентной среды на рынках товаров и услуг на территор</w:t>
            </w:r>
            <w:r>
              <w:rPr>
                <w:sz w:val="24"/>
                <w:szCs w:val="24"/>
              </w:rPr>
              <w:t xml:space="preserve">ии Артинского городского округа: неудовлетворительных ответов не отмечено. 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4.3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Данные об оценках субъектами предпринимательской деятельности Свердловской области состояние конкурентной среды и его изменений во времени</w:t>
            </w:r>
          </w:p>
        </w:tc>
        <w:tc>
          <w:tcPr>
            <w:tcW w:w="3191" w:type="dxa"/>
          </w:tcPr>
          <w:p w:rsidR="00282833" w:rsidRPr="00943A70" w:rsidRDefault="00447F28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 w:rsidRPr="00943A70">
              <w:rPr>
                <w:sz w:val="24"/>
                <w:szCs w:val="24"/>
              </w:rPr>
              <w:t xml:space="preserve">Оценка наиболее точно </w:t>
            </w:r>
            <w:proofErr w:type="gramStart"/>
            <w:r w:rsidRPr="00943A70">
              <w:rPr>
                <w:sz w:val="24"/>
                <w:szCs w:val="24"/>
              </w:rPr>
              <w:t>характеризующее</w:t>
            </w:r>
            <w:proofErr w:type="gramEnd"/>
            <w:r w:rsidRPr="00943A70">
              <w:rPr>
                <w:sz w:val="24"/>
                <w:szCs w:val="24"/>
              </w:rPr>
              <w:t xml:space="preserve"> условия конкуренции на рынке бизнеса - высокая.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4.4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Данные об оценках субъектами предпринимательской деятельности Свердловской области наличия и уровня административных барьеров во всех сферах регулирования их в динамике, в том числе данные о наличии жалоб в надзорные органы по данной проблематике и динамике их поступления</w:t>
            </w:r>
          </w:p>
        </w:tc>
        <w:tc>
          <w:tcPr>
            <w:tcW w:w="3191" w:type="dxa"/>
          </w:tcPr>
          <w:p w:rsidR="00282833" w:rsidRPr="00943A70" w:rsidRDefault="00BB30C5" w:rsidP="00C340CB">
            <w:pPr>
              <w:pStyle w:val="22"/>
              <w:shd w:val="clear" w:color="auto" w:fill="auto"/>
              <w:spacing w:after="0" w:line="302" w:lineRule="exact"/>
              <w:jc w:val="left"/>
            </w:pPr>
            <w:r w:rsidRPr="00943A70">
              <w:rPr>
                <w:sz w:val="24"/>
                <w:szCs w:val="24"/>
              </w:rPr>
              <w:t xml:space="preserve">В анкетах из перечисленных процедур содержат наиболее существенные административные барьеры при ведении бизнеса на рынке - </w:t>
            </w:r>
            <w:r w:rsidRPr="00943A70">
              <w:rPr>
                <w:rStyle w:val="212pt2"/>
              </w:rPr>
              <w:t xml:space="preserve"> </w:t>
            </w:r>
            <w:proofErr w:type="spellStart"/>
            <w:proofErr w:type="gramStart"/>
            <w:r w:rsidRPr="00943A70">
              <w:rPr>
                <w:sz w:val="24"/>
                <w:szCs w:val="24"/>
              </w:rPr>
              <w:t>A</w:t>
            </w:r>
            <w:proofErr w:type="gramEnd"/>
            <w:r w:rsidRPr="00943A70">
              <w:rPr>
                <w:sz w:val="24"/>
                <w:szCs w:val="24"/>
              </w:rPr>
              <w:t>спекты</w:t>
            </w:r>
            <w:proofErr w:type="spellEnd"/>
            <w:r w:rsidRPr="00943A70">
              <w:rPr>
                <w:sz w:val="24"/>
                <w:szCs w:val="24"/>
              </w:rPr>
              <w:t>, связанные с ведением предпринимательской деятельности</w:t>
            </w:r>
            <w:r w:rsidRPr="00943A70">
              <w:rPr>
                <w:rStyle w:val="212pt2"/>
                <w:i w:val="0"/>
              </w:rPr>
              <w:t>: поиск кадров и налоги.</w:t>
            </w:r>
            <w:r w:rsidRPr="00943A7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3A70">
              <w:rPr>
                <w:sz w:val="24"/>
                <w:szCs w:val="24"/>
              </w:rPr>
              <w:t>K</w:t>
            </w:r>
            <w:proofErr w:type="gramEnd"/>
            <w:r w:rsidRPr="00943A70">
              <w:rPr>
                <w:sz w:val="24"/>
                <w:szCs w:val="24"/>
              </w:rPr>
              <w:t>онтрольные</w:t>
            </w:r>
            <w:proofErr w:type="spellEnd"/>
            <w:r w:rsidRPr="00943A70">
              <w:rPr>
                <w:sz w:val="24"/>
                <w:szCs w:val="24"/>
              </w:rPr>
              <w:t xml:space="preserve"> мероприятия и деятельность органов власти: проверки Роспотребнадзора.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Pr="00D4646C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 w:rsidRPr="00D4646C">
              <w:rPr>
                <w:rStyle w:val="212pt1"/>
              </w:rPr>
              <w:t>5</w:t>
            </w:r>
          </w:p>
        </w:tc>
        <w:tc>
          <w:tcPr>
            <w:tcW w:w="8825" w:type="dxa"/>
            <w:gridSpan w:val="2"/>
          </w:tcPr>
          <w:p w:rsidR="00282833" w:rsidRPr="00D4646C" w:rsidRDefault="00282833" w:rsidP="00C340CB">
            <w:pPr>
              <w:pStyle w:val="22"/>
              <w:shd w:val="clear" w:color="auto" w:fill="auto"/>
              <w:spacing w:after="0" w:line="302" w:lineRule="exact"/>
              <w:jc w:val="left"/>
            </w:pPr>
            <w:r w:rsidRPr="00D4646C">
              <w:rPr>
                <w:rStyle w:val="212pt1"/>
              </w:rPr>
              <w:t>Ежегодный мониторинг деятельности хозяйствующих субъектов, доля участия муниципального образования в которых составляет 50 и более процентов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5.1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Реестр (перечень) хозяйствующих субъектов, доля участия муниципального образования в которых составляет 50 и более процентов, осуществляющих свою деятельность на территории Свердловской области</w:t>
            </w:r>
          </w:p>
        </w:tc>
        <w:tc>
          <w:tcPr>
            <w:tcW w:w="3191" w:type="dxa"/>
          </w:tcPr>
          <w:p w:rsidR="00282833" w:rsidRDefault="00220F4F" w:rsidP="00C340CB">
            <w:pPr>
              <w:pStyle w:val="22"/>
              <w:shd w:val="clear" w:color="auto" w:fill="auto"/>
              <w:tabs>
                <w:tab w:val="left" w:pos="274"/>
              </w:tabs>
              <w:spacing w:after="0" w:line="298" w:lineRule="exact"/>
              <w:jc w:val="left"/>
            </w:pPr>
            <w:r>
              <w:t>Реестр прилагается.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5.2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Все ли хозяйствующие субъекты, доля участия муниципального образования в которых составляет </w:t>
            </w:r>
            <w:r>
              <w:rPr>
                <w:rStyle w:val="212pt"/>
              </w:rPr>
              <w:lastRenderedPageBreak/>
              <w:t>50 и более процентов, осуществляющие свою деятельность на территории субъекта РФ, включены в приложенный реестр.</w:t>
            </w:r>
          </w:p>
        </w:tc>
        <w:tc>
          <w:tcPr>
            <w:tcW w:w="3191" w:type="dxa"/>
          </w:tcPr>
          <w:p w:rsidR="00282833" w:rsidRDefault="00220F4F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2"/>
              </w:rPr>
              <w:lastRenderedPageBreak/>
              <w:t xml:space="preserve"> «Да»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lastRenderedPageBreak/>
              <w:t>6</w:t>
            </w:r>
          </w:p>
        </w:tc>
        <w:tc>
          <w:tcPr>
            <w:tcW w:w="8825" w:type="dxa"/>
            <w:gridSpan w:val="2"/>
          </w:tcPr>
          <w:p w:rsidR="00282833" w:rsidRDefault="00282833" w:rsidP="00C340CB">
            <w:pPr>
              <w:pStyle w:val="22"/>
              <w:shd w:val="clear" w:color="auto" w:fill="auto"/>
              <w:spacing w:after="0" w:line="298" w:lineRule="exact"/>
              <w:jc w:val="left"/>
            </w:pPr>
            <w:r>
              <w:rPr>
                <w:rStyle w:val="212pt1"/>
              </w:rPr>
              <w:t>Разработка плана мероприятий («дорожной карты») по содействию развитию конкуренции</w:t>
            </w:r>
          </w:p>
        </w:tc>
      </w:tr>
      <w:tr w:rsidR="00282833" w:rsidRPr="00B90820" w:rsidTr="00C340CB">
        <w:tc>
          <w:tcPr>
            <w:tcW w:w="959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6.1</w:t>
            </w:r>
          </w:p>
        </w:tc>
        <w:tc>
          <w:tcPr>
            <w:tcW w:w="5634" w:type="dxa"/>
          </w:tcPr>
          <w:p w:rsidR="00282833" w:rsidRDefault="00282833" w:rsidP="00C340CB">
            <w:pPr>
              <w:pStyle w:val="22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Реквизиты «дорожной карты»</w:t>
            </w:r>
          </w:p>
        </w:tc>
        <w:tc>
          <w:tcPr>
            <w:tcW w:w="3191" w:type="dxa"/>
          </w:tcPr>
          <w:p w:rsidR="00E50534" w:rsidRPr="00E50534" w:rsidRDefault="00E50534" w:rsidP="00C340CB">
            <w:pPr>
              <w:pStyle w:val="22"/>
              <w:spacing w:after="0" w:line="298" w:lineRule="exact"/>
              <w:jc w:val="left"/>
              <w:rPr>
                <w:rStyle w:val="212pt2"/>
                <w:i w:val="0"/>
              </w:rPr>
            </w:pPr>
            <w:r>
              <w:rPr>
                <w:rStyle w:val="212pt2"/>
                <w:i w:val="0"/>
              </w:rPr>
              <w:t>Постановление Администрации Артинского городского округа от 29.12.2017 №1068 «</w:t>
            </w:r>
            <w:r w:rsidRPr="00E50534">
              <w:rPr>
                <w:rStyle w:val="212pt2"/>
                <w:i w:val="0"/>
              </w:rPr>
              <w:t>Об утверждении Плана мероприятий («дорожная карта»)</w:t>
            </w:r>
            <w:r w:rsidR="00C340CB">
              <w:rPr>
                <w:rStyle w:val="212pt2"/>
                <w:i w:val="0"/>
              </w:rPr>
              <w:t xml:space="preserve"> </w:t>
            </w:r>
            <w:r w:rsidRPr="00E50534">
              <w:rPr>
                <w:rStyle w:val="212pt2"/>
                <w:i w:val="0"/>
              </w:rPr>
              <w:t xml:space="preserve">по содействию развитию конкуренции </w:t>
            </w:r>
          </w:p>
          <w:p w:rsidR="00282833" w:rsidRPr="000A7EAC" w:rsidRDefault="00E50534" w:rsidP="00C340CB">
            <w:pPr>
              <w:pStyle w:val="22"/>
              <w:shd w:val="clear" w:color="auto" w:fill="auto"/>
              <w:spacing w:after="0" w:line="298" w:lineRule="exact"/>
              <w:jc w:val="left"/>
              <w:rPr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0534">
              <w:rPr>
                <w:rStyle w:val="212pt2"/>
                <w:i w:val="0"/>
              </w:rPr>
              <w:t>на территории Артинского городского округа</w:t>
            </w:r>
            <w:r>
              <w:rPr>
                <w:rStyle w:val="212pt2"/>
                <w:i w:val="0"/>
              </w:rPr>
              <w:t>»</w:t>
            </w:r>
          </w:p>
        </w:tc>
      </w:tr>
    </w:tbl>
    <w:p w:rsidR="00282833" w:rsidRDefault="00282833"/>
    <w:sectPr w:rsidR="00282833" w:rsidSect="0047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BFF"/>
    <w:multiLevelType w:val="multilevel"/>
    <w:tmpl w:val="6F5EF02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38"/>
    <w:rsid w:val="000365DD"/>
    <w:rsid w:val="000A7EAC"/>
    <w:rsid w:val="000E0017"/>
    <w:rsid w:val="00162344"/>
    <w:rsid w:val="001641E7"/>
    <w:rsid w:val="001A51BF"/>
    <w:rsid w:val="001C5F1E"/>
    <w:rsid w:val="00214CAA"/>
    <w:rsid w:val="00220F4F"/>
    <w:rsid w:val="00282833"/>
    <w:rsid w:val="00447F28"/>
    <w:rsid w:val="0047076B"/>
    <w:rsid w:val="0050643A"/>
    <w:rsid w:val="00632442"/>
    <w:rsid w:val="006A7DFC"/>
    <w:rsid w:val="00813538"/>
    <w:rsid w:val="008C30C6"/>
    <w:rsid w:val="008D5B8D"/>
    <w:rsid w:val="00943A70"/>
    <w:rsid w:val="00B90820"/>
    <w:rsid w:val="00BB30C5"/>
    <w:rsid w:val="00C340CB"/>
    <w:rsid w:val="00C54AC4"/>
    <w:rsid w:val="00C74FD4"/>
    <w:rsid w:val="00D4646C"/>
    <w:rsid w:val="00DA50C8"/>
    <w:rsid w:val="00DC50BE"/>
    <w:rsid w:val="00E50534"/>
    <w:rsid w:val="00E90387"/>
    <w:rsid w:val="00F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uiPriority w:val="99"/>
    <w:locked/>
    <w:rsid w:val="00F51B3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F51B38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F51B3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locked/>
    <w:rsid w:val="00F51B3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uiPriority w:val="99"/>
    <w:rsid w:val="00F51B3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"/>
    <w:basedOn w:val="21"/>
    <w:uiPriority w:val="99"/>
    <w:rsid w:val="00F51B3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F51B38"/>
    <w:pPr>
      <w:widowControl w:val="0"/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1">
    <w:name w:val="Основной текст (2) + 12 pt1"/>
    <w:aliases w:val="Полужирный"/>
    <w:basedOn w:val="21"/>
    <w:uiPriority w:val="99"/>
    <w:rsid w:val="00F51B3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8C3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CA"/>
    <w:rPr>
      <w:rFonts w:ascii="Times New Roman" w:hAnsi="Times New Roman"/>
      <w:sz w:val="0"/>
      <w:szCs w:val="0"/>
      <w:lang w:eastAsia="en-US"/>
    </w:rPr>
  </w:style>
  <w:style w:type="table" w:customStyle="1" w:styleId="1">
    <w:name w:val="Сетка таблицы1"/>
    <w:basedOn w:val="a1"/>
    <w:next w:val="a3"/>
    <w:uiPriority w:val="39"/>
    <w:rsid w:val="00BB30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uiPriority w:val="99"/>
    <w:locked/>
    <w:rsid w:val="00F51B3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F51B38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F51B3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locked/>
    <w:rsid w:val="00F51B3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uiPriority w:val="99"/>
    <w:rsid w:val="00F51B3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"/>
    <w:basedOn w:val="21"/>
    <w:uiPriority w:val="99"/>
    <w:rsid w:val="00F51B3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F51B38"/>
    <w:pPr>
      <w:widowControl w:val="0"/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1">
    <w:name w:val="Основной текст (2) + 12 pt1"/>
    <w:aliases w:val="Полужирный"/>
    <w:basedOn w:val="21"/>
    <w:uiPriority w:val="99"/>
    <w:rsid w:val="00F51B3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8C3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CA"/>
    <w:rPr>
      <w:rFonts w:ascii="Times New Roman" w:hAnsi="Times New Roman"/>
      <w:sz w:val="0"/>
      <w:szCs w:val="0"/>
      <w:lang w:eastAsia="en-US"/>
    </w:rPr>
  </w:style>
  <w:style w:type="table" w:customStyle="1" w:styleId="1">
    <w:name w:val="Сетка таблицы1"/>
    <w:basedOn w:val="a1"/>
    <w:next w:val="a3"/>
    <w:uiPriority w:val="39"/>
    <w:rsid w:val="00BB30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1: Информация о реализации составляющих стандарта развития конкуренции в  (МО)____________________________</vt:lpstr>
    </vt:vector>
  </TitlesOfParts>
  <Company>diakov.net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1: Информация о реализации составляющих стандарта развития конкуренции в  (МО)____________________________</dc:title>
  <dc:creator>RePack by Diakov</dc:creator>
  <cp:lastModifiedBy>Сыворотко Татьяна Михайловна</cp:lastModifiedBy>
  <cp:revision>2</cp:revision>
  <cp:lastPrinted>2019-01-31T10:34:00Z</cp:lastPrinted>
  <dcterms:created xsi:type="dcterms:W3CDTF">2020-11-10T11:39:00Z</dcterms:created>
  <dcterms:modified xsi:type="dcterms:W3CDTF">2020-11-10T11:39:00Z</dcterms:modified>
</cp:coreProperties>
</file>